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hint="eastAsia" w:ascii="宋体" w:hAnsi="宋体" w:eastAsia="宋体"/>
          <w:b/>
          <w:sz w:val="28"/>
          <w:lang w:eastAsia="zh-CN"/>
        </w:rPr>
      </w:pPr>
      <w:r>
        <w:rPr>
          <w:rFonts w:hint="eastAsia" w:ascii="宋体" w:hAnsi="宋体" w:eastAsia="宋体"/>
          <w:b/>
          <w:sz w:val="28"/>
          <w:lang w:eastAsia="zh-CN"/>
        </w:rPr>
        <w:t>隆安县自然资源局2020年不动产权登记机构采购社会劳务派遣服务</w:t>
      </w:r>
    </w:p>
    <w:p>
      <w:pPr>
        <w:ind w:firstLine="281" w:firstLineChars="100"/>
        <w:jc w:val="center"/>
        <w:rPr>
          <w:rFonts w:ascii="宋体" w:hAnsi="宋体" w:eastAsia="宋体"/>
          <w:b/>
          <w:sz w:val="28"/>
        </w:rPr>
      </w:pPr>
      <w:r>
        <w:rPr>
          <w:rFonts w:hint="eastAsia" w:ascii="宋体" w:hAnsi="宋体" w:eastAsia="宋体"/>
          <w:b/>
          <w:sz w:val="28"/>
        </w:rPr>
        <w:t>（</w:t>
      </w:r>
      <w:r>
        <w:rPr>
          <w:rFonts w:hint="eastAsia" w:ascii="宋体" w:hAnsi="宋体" w:eastAsia="宋体"/>
          <w:b/>
          <w:sz w:val="28"/>
          <w:lang w:eastAsia="zh-CN"/>
        </w:rPr>
        <w:t>NNLAZC2019-G3-00042-GXJT</w:t>
      </w:r>
      <w:r>
        <w:rPr>
          <w:rFonts w:hint="eastAsia" w:ascii="宋体" w:hAnsi="宋体" w:eastAsia="宋体"/>
          <w:b/>
          <w:sz w:val="28"/>
        </w:rPr>
        <w:t>）主要成交标的的名称、数量、</w:t>
      </w:r>
      <w:r>
        <w:rPr>
          <w:rFonts w:hint="eastAsia" w:ascii="宋体" w:hAnsi="宋体" w:eastAsia="宋体"/>
          <w:b/>
          <w:sz w:val="28"/>
          <w:lang w:eastAsia="zh-CN"/>
        </w:rPr>
        <w:t>价格</w:t>
      </w:r>
      <w:r>
        <w:rPr>
          <w:rFonts w:hint="eastAsia" w:ascii="宋体" w:hAnsi="宋体" w:eastAsia="宋体"/>
          <w:b/>
          <w:sz w:val="28"/>
        </w:rPr>
        <w:t>、服务要求</w:t>
      </w:r>
    </w:p>
    <w:tbl>
      <w:tblPr>
        <w:tblStyle w:val="10"/>
        <w:tblW w:w="1521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78"/>
        <w:gridCol w:w="782"/>
        <w:gridCol w:w="9416"/>
        <w:gridCol w:w="106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939"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Cs w:val="21"/>
              </w:rPr>
            </w:pPr>
            <w:r>
              <w:rPr>
                <w:rFonts w:hint="eastAsia" w:ascii="宋体" w:hAnsi="宋体" w:eastAsia="宋体" w:cs="宋体"/>
                <w:b/>
                <w:bCs/>
                <w:color w:val="000000"/>
                <w:szCs w:val="21"/>
              </w:rPr>
              <w:t>序号</w:t>
            </w:r>
          </w:p>
        </w:tc>
        <w:tc>
          <w:tcPr>
            <w:tcW w:w="1078"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服务</w:t>
            </w:r>
            <w:r>
              <w:rPr>
                <w:rFonts w:hint="eastAsia" w:ascii="宋体" w:hAnsi="宋体" w:eastAsia="宋体" w:cs="宋体"/>
                <w:b/>
                <w:bCs/>
                <w:color w:val="000000"/>
                <w:szCs w:val="21"/>
              </w:rPr>
              <w:t>名称</w:t>
            </w:r>
          </w:p>
        </w:tc>
        <w:tc>
          <w:tcPr>
            <w:tcW w:w="782"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数量</w:t>
            </w:r>
          </w:p>
        </w:tc>
        <w:tc>
          <w:tcPr>
            <w:tcW w:w="9416"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val="en-US" w:eastAsia="zh-CN"/>
              </w:rPr>
              <w:t>服务内容</w:t>
            </w:r>
          </w:p>
        </w:tc>
        <w:tc>
          <w:tcPr>
            <w:tcW w:w="106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质保期</w:t>
            </w:r>
          </w:p>
        </w:tc>
        <w:tc>
          <w:tcPr>
            <w:tcW w:w="1935" w:type="dxa"/>
            <w:shd w:val="clear" w:color="000000" w:fill="FFFFFF"/>
            <w:vAlign w:val="center"/>
          </w:tcPr>
          <w:p>
            <w:pPr>
              <w:pStyle w:val="5"/>
              <w:ind w:left="0" w:leftChars="0" w:right="0" w:rightChars="0"/>
              <w:jc w:val="center"/>
              <w:rPr>
                <w:rFonts w:hint="eastAsia" w:ascii="宋体" w:hAnsi="宋体" w:eastAsia="宋体" w:cs="宋体"/>
                <w:b/>
                <w:bCs/>
                <w:color w:val="000000"/>
                <w:szCs w:val="21"/>
                <w:lang w:eastAsia="zh-CN"/>
              </w:rPr>
            </w:pPr>
            <w:r>
              <w:rPr>
                <w:rFonts w:hint="eastAsia" w:hAnsi="宋体" w:cs="宋体"/>
                <w:b/>
                <w:bCs/>
                <w:color w:val="000000"/>
                <w:szCs w:val="21"/>
                <w:lang w:eastAsia="zh-CN"/>
              </w:rPr>
              <w:t>价格（合计）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939" w:type="dxa"/>
            <w:shd w:val="clear" w:color="000000" w:fill="FFFFFF"/>
            <w:vAlign w:val="center"/>
          </w:tcPr>
          <w:p>
            <w:pPr>
              <w:spacing w:line="240" w:lineRule="exact"/>
              <w:jc w:val="center"/>
              <w:rPr>
                <w:rFonts w:hint="eastAsia" w:ascii="宋体" w:hAnsi="宋体" w:eastAsia="宋体" w:cs="宋体"/>
                <w:color w:val="000000"/>
                <w:sz w:val="20"/>
                <w:szCs w:val="20"/>
                <w:lang w:val="en-US" w:eastAsia="zh-CN"/>
              </w:rPr>
            </w:pPr>
            <w:r>
              <w:rPr>
                <w:rFonts w:hint="eastAsia" w:ascii="宋体" w:hAnsi="宋体"/>
                <w:color w:val="auto"/>
                <w:szCs w:val="21"/>
              </w:rPr>
              <w:t>1</w:t>
            </w:r>
          </w:p>
        </w:tc>
        <w:tc>
          <w:tcPr>
            <w:tcW w:w="1078" w:type="dxa"/>
            <w:shd w:val="clear" w:color="000000" w:fill="FFFFFF"/>
            <w:vAlign w:val="center"/>
          </w:tcPr>
          <w:p>
            <w:pPr>
              <w:widowControl/>
              <w:shd w:val="clear" w:color="auto" w:fill="FFFFFF"/>
              <w:spacing w:line="330" w:lineRule="atLeast"/>
              <w:rPr>
                <w:rFonts w:hint="eastAsia" w:ascii="宋体" w:hAnsi="宋体" w:eastAsia="宋体" w:cs="宋体"/>
                <w:i w:val="0"/>
                <w:iCs w:val="0"/>
                <w:color w:val="000000"/>
                <w:szCs w:val="21"/>
                <w:highlight w:val="none"/>
                <w:lang w:val="en-US" w:eastAsia="zh-CN"/>
              </w:rPr>
            </w:pPr>
            <w:r>
              <w:rPr>
                <w:rFonts w:hint="eastAsia" w:ascii="宋体" w:hAnsi="宋体"/>
                <w:color w:val="auto"/>
                <w:szCs w:val="21"/>
                <w:lang w:val="en-US" w:eastAsia="zh-CN"/>
              </w:rPr>
              <w:t>隆安县自然资源局2020年不动产权登记机构采购社会劳务派遣服务</w:t>
            </w:r>
          </w:p>
        </w:tc>
        <w:tc>
          <w:tcPr>
            <w:tcW w:w="782" w:type="dxa"/>
            <w:shd w:val="clear" w:color="000000" w:fill="FFFFFF"/>
            <w:vAlign w:val="center"/>
          </w:tcPr>
          <w:p>
            <w:pPr>
              <w:spacing w:line="260" w:lineRule="exact"/>
              <w:jc w:val="center"/>
              <w:rPr>
                <w:rFonts w:hint="default" w:ascii="宋体" w:hAnsi="宋体" w:eastAsia="宋体" w:cs="宋体"/>
                <w:i w:val="0"/>
                <w:iCs w:val="0"/>
                <w:color w:val="000000"/>
                <w:szCs w:val="21"/>
                <w:highlight w:val="none"/>
                <w:lang w:val="en-US" w:eastAsia="zh-CN"/>
              </w:rPr>
            </w:pPr>
            <w:r>
              <w:rPr>
                <w:rFonts w:hint="eastAsia" w:ascii="宋体" w:hAnsi="宋体"/>
                <w:color w:val="auto"/>
                <w:szCs w:val="21"/>
              </w:rPr>
              <w:t>1项</w:t>
            </w:r>
          </w:p>
        </w:tc>
        <w:tc>
          <w:tcPr>
            <w:tcW w:w="9416" w:type="dxa"/>
            <w:shd w:val="clear" w:color="000000" w:fill="FFFFFF"/>
            <w:vAlign w:val="center"/>
          </w:tcPr>
          <w:p>
            <w:pPr>
              <w:spacing w:line="360" w:lineRule="auto"/>
              <w:rPr>
                <w:rFonts w:ascii="宋体" w:hAnsi="宋体"/>
                <w:color w:val="auto"/>
                <w:szCs w:val="21"/>
              </w:rPr>
            </w:pPr>
            <w:r>
              <w:rPr>
                <w:rFonts w:hint="eastAsia" w:ascii="宋体" w:hAnsi="宋体" w:cs="宋体"/>
                <w:color w:val="auto"/>
                <w:szCs w:val="21"/>
              </w:rPr>
              <w:t>★</w:t>
            </w:r>
            <w:r>
              <w:rPr>
                <w:rFonts w:hint="eastAsia" w:ascii="宋体" w:hAnsi="宋体"/>
                <w:b/>
                <w:bCs/>
                <w:color w:val="auto"/>
                <w:szCs w:val="21"/>
              </w:rPr>
              <w:t>（一）劳务服务概况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为确保能够按时按质完成工作，中标单位在</w:t>
            </w:r>
            <w:r>
              <w:rPr>
                <w:rFonts w:hint="eastAsia" w:ascii="宋体" w:hAnsi="宋体"/>
                <w:color w:val="auto"/>
                <w:szCs w:val="21"/>
              </w:rPr>
              <w:t>隆安县自然资源局</w:t>
            </w:r>
            <w:r>
              <w:rPr>
                <w:rFonts w:hint="eastAsia" w:ascii="宋体" w:hAnsi="宋体" w:cs="宋体"/>
                <w:color w:val="auto"/>
                <w:szCs w:val="21"/>
              </w:rPr>
              <w:t>派遣人员应不少于20人，并接受招标单位调配。</w:t>
            </w:r>
          </w:p>
          <w:p>
            <w:pPr>
              <w:numPr>
                <w:ilvl w:val="0"/>
                <w:numId w:val="1"/>
              </w:numPr>
              <w:spacing w:line="360" w:lineRule="auto"/>
              <w:rPr>
                <w:rFonts w:ascii="宋体" w:hAnsi="宋体" w:cs="宋体"/>
                <w:b/>
                <w:bCs/>
                <w:color w:val="auto"/>
                <w:szCs w:val="21"/>
              </w:rPr>
            </w:pPr>
            <w:r>
              <w:rPr>
                <w:rFonts w:hint="eastAsia" w:ascii="宋体" w:hAnsi="宋体"/>
                <w:b/>
                <w:bCs/>
                <w:color w:val="auto"/>
                <w:szCs w:val="21"/>
              </w:rPr>
              <w:t>工作内容：</w:t>
            </w:r>
            <w:r>
              <w:rPr>
                <w:rFonts w:hint="eastAsia" w:ascii="宋体" w:hAnsi="宋体" w:cs="宋体"/>
                <w:b/>
                <w:bCs/>
                <w:color w:val="auto"/>
                <w:szCs w:val="21"/>
              </w:rPr>
              <w:t>主要从事不动产登业务流程中的档案管理、档案数字化、登记业务数据管理、登记系统升级维护、权籍调查数据完善、数据信息共享等。</w:t>
            </w:r>
          </w:p>
          <w:p>
            <w:pPr>
              <w:numPr>
                <w:ilvl w:val="0"/>
                <w:numId w:val="1"/>
              </w:numPr>
              <w:spacing w:line="360" w:lineRule="auto"/>
              <w:rPr>
                <w:rFonts w:ascii="宋体" w:hAnsi="宋体" w:cs="宋体"/>
                <w:b/>
                <w:bCs/>
                <w:color w:val="auto"/>
                <w:szCs w:val="21"/>
              </w:rPr>
            </w:pPr>
            <w:r>
              <w:rPr>
                <w:rFonts w:hint="eastAsia" w:ascii="宋体" w:hAnsi="宋体" w:cs="宋体"/>
                <w:b/>
                <w:bCs/>
                <w:color w:val="auto"/>
                <w:szCs w:val="21"/>
              </w:rPr>
              <w:t>具体工作内容如下</w:t>
            </w:r>
          </w:p>
          <w:p>
            <w:pPr>
              <w:spacing w:line="360" w:lineRule="auto"/>
              <w:ind w:left="281" w:leftChars="134"/>
              <w:rPr>
                <w:rFonts w:ascii="宋体" w:hAnsi="宋体" w:cs="宋体"/>
                <w:color w:val="auto"/>
                <w:szCs w:val="21"/>
              </w:rPr>
            </w:pPr>
            <w:r>
              <w:rPr>
                <w:rFonts w:hint="eastAsia" w:ascii="宋体" w:hAnsi="宋体" w:cs="宋体"/>
                <w:color w:val="auto"/>
                <w:szCs w:val="21"/>
              </w:rPr>
              <w:t>1.登记业务数据整理：将不动产登记业务资料全部电子化后按要求做好分类存储至指定办公用计算机服务器，根据不动产登记信息系统的要求，完善登记信息系统的数据，导入必要登记信息，实时更新；</w:t>
            </w:r>
          </w:p>
          <w:p>
            <w:pPr>
              <w:spacing w:line="360" w:lineRule="auto"/>
              <w:ind w:left="281" w:leftChars="134"/>
              <w:rPr>
                <w:rFonts w:ascii="宋体" w:hAnsi="宋体" w:cs="宋体"/>
                <w:color w:val="auto"/>
                <w:szCs w:val="21"/>
              </w:rPr>
            </w:pPr>
            <w:r>
              <w:rPr>
                <w:rFonts w:hint="eastAsia" w:ascii="宋体" w:hAnsi="宋体" w:cs="宋体"/>
                <w:color w:val="auto"/>
                <w:szCs w:val="21"/>
              </w:rPr>
              <w:t>2.登记业务档案扫描：扫描时应根据纸质档案的材质选择相应的扫描设备，保证档案不受损、不漏扫、错扫，严格确保图像质量；</w:t>
            </w:r>
          </w:p>
          <w:p>
            <w:pPr>
              <w:spacing w:line="360" w:lineRule="auto"/>
              <w:ind w:left="281" w:leftChars="134"/>
              <w:rPr>
                <w:rFonts w:ascii="宋体" w:hAnsi="宋体" w:cs="宋体"/>
                <w:color w:val="auto"/>
                <w:szCs w:val="21"/>
              </w:rPr>
            </w:pPr>
            <w:r>
              <w:rPr>
                <w:rFonts w:hint="eastAsia" w:ascii="宋体" w:hAnsi="宋体" w:cs="宋体"/>
                <w:color w:val="auto"/>
                <w:szCs w:val="21"/>
              </w:rPr>
              <w:t>3.电子图像处理：对图像偏斜度、清晰度、失真度等进行检查。发现不符合图像质量要求时，应重新进行图像的处理；</w:t>
            </w:r>
          </w:p>
          <w:p>
            <w:pPr>
              <w:spacing w:line="360" w:lineRule="auto"/>
              <w:ind w:left="281" w:leftChars="134"/>
              <w:rPr>
                <w:rFonts w:ascii="宋体" w:hAnsi="宋体" w:cs="宋体"/>
                <w:color w:val="auto"/>
                <w:szCs w:val="21"/>
              </w:rPr>
            </w:pPr>
            <w:r>
              <w:rPr>
                <w:rFonts w:hint="eastAsia" w:ascii="宋体" w:hAnsi="宋体" w:cs="宋体"/>
                <w:color w:val="auto"/>
                <w:szCs w:val="21"/>
              </w:rPr>
              <w:t>4.电子图像储存：采用jpg格式存储，一份案卷对应一个或多个文件夹；</w:t>
            </w:r>
          </w:p>
          <w:p>
            <w:pPr>
              <w:spacing w:line="360" w:lineRule="auto"/>
              <w:ind w:left="281" w:leftChars="134"/>
              <w:rPr>
                <w:rFonts w:ascii="宋体" w:hAnsi="宋体" w:cs="宋体"/>
                <w:color w:val="auto"/>
                <w:szCs w:val="21"/>
              </w:rPr>
            </w:pPr>
            <w:r>
              <w:rPr>
                <w:rFonts w:hint="eastAsia" w:ascii="宋体" w:hAnsi="宋体" w:cs="宋体"/>
                <w:color w:val="auto"/>
                <w:szCs w:val="21"/>
              </w:rPr>
              <w:t>5.完善登记数据中间库：将国土与房产的数据分别存放，存储扫描件，有属性信息编辑、矢量数据查找、替换的功能，并对历史档案数据进行补录、纠错、标准化，形成完整的关系网，完善每宗地的来龙去脉，夯实串案组幢的数据基础。国土、房产信息的进一步整理，房屋落宗问题可在中间库平台中进行，为数据整合做好准备；</w:t>
            </w:r>
          </w:p>
          <w:p>
            <w:pPr>
              <w:spacing w:line="360" w:lineRule="auto"/>
              <w:ind w:left="281" w:leftChars="134"/>
              <w:rPr>
                <w:rFonts w:ascii="宋体" w:hAnsi="宋体" w:cs="宋体"/>
                <w:color w:val="auto"/>
                <w:szCs w:val="21"/>
              </w:rPr>
            </w:pPr>
            <w:r>
              <w:rPr>
                <w:rFonts w:hint="eastAsia" w:ascii="宋体" w:hAnsi="宋体" w:cs="宋体"/>
                <w:color w:val="auto"/>
                <w:szCs w:val="21"/>
              </w:rPr>
              <w:t>6.登记数据挂接：实现档案数字化转换过程中形成的数据与扫描件的挂接。通过每一份图像文件的文件名与档案数据库中该份文件的档号的一致性和唯一性，建立起一一对应的关联关系，为实现档案数据库与图像文件的批量挂接提供条件；</w:t>
            </w:r>
          </w:p>
          <w:p>
            <w:pPr>
              <w:spacing w:line="360" w:lineRule="auto"/>
              <w:ind w:firstLine="210" w:firstLineChars="100"/>
              <w:rPr>
                <w:rFonts w:ascii="宋体" w:hAnsi="宋体" w:cs="宋体"/>
                <w:color w:val="auto"/>
                <w:szCs w:val="21"/>
              </w:rPr>
            </w:pPr>
            <w:r>
              <w:rPr>
                <w:rFonts w:hint="eastAsia" w:ascii="宋体" w:hAnsi="宋体" w:cs="宋体"/>
                <w:color w:val="auto"/>
                <w:szCs w:val="21"/>
              </w:rPr>
              <w:t>7.做好不动产登记信息系统、“EPS”不动产权籍调查系统的日常维护工作及调试、改造、升级等工作。</w:t>
            </w:r>
          </w:p>
          <w:p>
            <w:pPr>
              <w:spacing w:line="360" w:lineRule="auto"/>
              <w:ind w:firstLine="210" w:firstLineChars="100"/>
              <w:rPr>
                <w:rFonts w:ascii="宋体" w:hAnsi="宋体" w:cs="宋体"/>
                <w:color w:val="auto"/>
                <w:szCs w:val="21"/>
              </w:rPr>
            </w:pPr>
            <w:r>
              <w:rPr>
                <w:rFonts w:hint="eastAsia" w:ascii="宋体" w:hAnsi="宋体" w:cs="宋体"/>
                <w:color w:val="auto"/>
                <w:szCs w:val="21"/>
              </w:rPr>
              <w:t>8.档案按不动产登记档案管理的要求，装订、入库、上架，并贴好标签。</w:t>
            </w:r>
          </w:p>
          <w:p>
            <w:pPr>
              <w:spacing w:line="360" w:lineRule="auto"/>
              <w:ind w:firstLine="210" w:firstLineChars="100"/>
              <w:rPr>
                <w:rFonts w:ascii="宋体" w:hAnsi="宋体" w:cs="宋体"/>
                <w:color w:val="auto"/>
                <w:szCs w:val="21"/>
              </w:rPr>
            </w:pPr>
            <w:r>
              <w:rPr>
                <w:rFonts w:hint="eastAsia" w:ascii="宋体" w:hAnsi="宋体" w:cs="宋体"/>
                <w:color w:val="auto"/>
                <w:szCs w:val="21"/>
              </w:rPr>
              <w:t>9.权籍调查数据完善</w:t>
            </w:r>
          </w:p>
          <w:p>
            <w:pPr>
              <w:spacing w:line="360" w:lineRule="auto"/>
              <w:ind w:firstLine="210" w:firstLineChars="100"/>
              <w:rPr>
                <w:rFonts w:ascii="宋体" w:hAnsi="宋体" w:cs="宋体"/>
                <w:color w:val="auto"/>
                <w:szCs w:val="21"/>
              </w:rPr>
            </w:pPr>
            <w:r>
              <w:rPr>
                <w:rFonts w:hint="eastAsia" w:ascii="宋体" w:hAnsi="宋体" w:cs="宋体"/>
                <w:color w:val="auto"/>
                <w:szCs w:val="21"/>
              </w:rPr>
              <w:t>10.数据信息共享</w:t>
            </w:r>
          </w:p>
          <w:p>
            <w:pPr>
              <w:spacing w:line="360" w:lineRule="auto"/>
              <w:rPr>
                <w:rFonts w:ascii="宋体" w:hAnsi="宋体"/>
                <w:b/>
                <w:bCs/>
                <w:color w:val="auto"/>
                <w:szCs w:val="21"/>
              </w:rPr>
            </w:pPr>
            <w:r>
              <w:rPr>
                <w:rFonts w:hint="eastAsia" w:ascii="宋体" w:hAnsi="宋体"/>
                <w:b/>
                <w:bCs/>
                <w:color w:val="auto"/>
                <w:szCs w:val="21"/>
              </w:rPr>
              <w:t>（三）劳务人员的选定</w:t>
            </w:r>
          </w:p>
          <w:p>
            <w:pPr>
              <w:pStyle w:val="12"/>
              <w:spacing w:line="360" w:lineRule="auto"/>
              <w:ind w:firstLine="420" w:firstLineChars="200"/>
              <w:rPr>
                <w:rFonts w:ascii="宋体" w:hAnsi="宋体"/>
                <w:bCs w:val="0"/>
                <w:color w:val="auto"/>
                <w:spacing w:val="0"/>
                <w:kern w:val="2"/>
                <w:sz w:val="21"/>
                <w:szCs w:val="21"/>
              </w:rPr>
            </w:pPr>
            <w:r>
              <w:rPr>
                <w:rFonts w:hint="eastAsia" w:ascii="宋体" w:hAnsi="宋体"/>
                <w:bCs w:val="0"/>
                <w:color w:val="auto"/>
                <w:spacing w:val="0"/>
                <w:kern w:val="2"/>
                <w:sz w:val="21"/>
                <w:szCs w:val="21"/>
              </w:rPr>
              <w:t>1.劳务派遣人员进入采购方单位前需进行体检，要求身体健康，并根据采购方的要求提供健康证明。</w:t>
            </w:r>
          </w:p>
          <w:p>
            <w:pPr>
              <w:pStyle w:val="12"/>
              <w:spacing w:line="360" w:lineRule="auto"/>
              <w:ind w:firstLine="420" w:firstLineChars="200"/>
              <w:rPr>
                <w:rFonts w:ascii="宋体" w:hAnsi="宋体"/>
                <w:bCs w:val="0"/>
                <w:color w:val="auto"/>
                <w:spacing w:val="0"/>
                <w:kern w:val="2"/>
                <w:sz w:val="21"/>
                <w:szCs w:val="21"/>
              </w:rPr>
            </w:pPr>
            <w:r>
              <w:rPr>
                <w:rFonts w:hint="eastAsia" w:ascii="宋体" w:hAnsi="宋体"/>
                <w:bCs w:val="0"/>
                <w:color w:val="auto"/>
                <w:spacing w:val="0"/>
                <w:kern w:val="2"/>
                <w:sz w:val="21"/>
                <w:szCs w:val="21"/>
              </w:rPr>
              <w:t>2.中标方须对劳务人员进行岗前培训以保证派遣的人员能够完成业主要求的工作内容，确定派遣劳务人员后应提前向业主提供派遣人员花名册，经业主审定同意后方可上岗。</w:t>
            </w:r>
          </w:p>
          <w:p>
            <w:pPr>
              <w:pStyle w:val="12"/>
              <w:spacing w:line="360" w:lineRule="auto"/>
              <w:ind w:firstLine="420" w:firstLineChars="200"/>
              <w:rPr>
                <w:rFonts w:ascii="宋体" w:hAnsi="宋体"/>
                <w:bCs w:val="0"/>
                <w:color w:val="auto"/>
                <w:spacing w:val="0"/>
                <w:kern w:val="2"/>
                <w:sz w:val="21"/>
                <w:szCs w:val="21"/>
              </w:rPr>
            </w:pPr>
            <w:r>
              <w:rPr>
                <w:rFonts w:hint="eastAsia" w:ascii="宋体" w:hAnsi="宋体"/>
                <w:bCs w:val="0"/>
                <w:color w:val="auto"/>
                <w:spacing w:val="0"/>
                <w:kern w:val="2"/>
                <w:sz w:val="21"/>
                <w:szCs w:val="21"/>
              </w:rPr>
              <w:t>3.在提供劳动服务过程中，劳务人员违法违纪、旷工或确实不能胜任工作的，中标方须及时调整派遣人员。</w:t>
            </w:r>
          </w:p>
          <w:p>
            <w:pPr>
              <w:spacing w:line="360" w:lineRule="auto"/>
              <w:rPr>
                <w:rFonts w:ascii="宋体" w:hAnsi="宋体"/>
                <w:b/>
                <w:bCs/>
                <w:color w:val="auto"/>
                <w:szCs w:val="21"/>
              </w:rPr>
            </w:pPr>
            <w:r>
              <w:rPr>
                <w:rFonts w:hint="eastAsia" w:ascii="宋体" w:hAnsi="宋体"/>
                <w:color w:val="auto"/>
                <w:szCs w:val="21"/>
              </w:rPr>
              <w:t>★</w:t>
            </w:r>
            <w:r>
              <w:rPr>
                <w:rFonts w:hint="eastAsia" w:ascii="宋体" w:hAnsi="宋体"/>
                <w:b/>
                <w:bCs/>
                <w:color w:val="auto"/>
                <w:szCs w:val="21"/>
              </w:rPr>
              <w:t>（四）保密要求</w:t>
            </w:r>
          </w:p>
          <w:p>
            <w:pPr>
              <w:keepNext w:val="0"/>
              <w:keepLines w:val="0"/>
              <w:widowControl/>
              <w:suppressLineNumbers w:val="0"/>
              <w:tabs>
                <w:tab w:val="left" w:pos="180"/>
                <w:tab w:val="left" w:pos="525"/>
                <w:tab w:val="left" w:pos="720"/>
              </w:tabs>
              <w:spacing w:before="0" w:beforeAutospacing="0" w:after="0" w:afterAutospacing="0" w:line="420" w:lineRule="exact"/>
              <w:ind w:left="0" w:right="0" w:firstLine="420" w:firstLineChars="200"/>
              <w:rPr>
                <w:rFonts w:hint="eastAsia"/>
                <w:lang w:val="en-US" w:eastAsia="zh-CN"/>
              </w:rPr>
            </w:pPr>
            <w:r>
              <w:rPr>
                <w:rFonts w:hint="eastAsia" w:ascii="宋体" w:hAnsi="宋体"/>
                <w:color w:val="auto"/>
                <w:szCs w:val="21"/>
              </w:rPr>
              <w:t>禁止泄露一切不动产登记信息系统的内容及不动产权利人的登记信息。为了避免通过硬件设备泄露相关信息文件，开展工作过程中所使用的电子数据储存设备必须保证经过计算机防毒软件扫描无误后再接入办公设备</w:t>
            </w:r>
            <w:r>
              <w:rPr>
                <w:rFonts w:hint="eastAsia" w:ascii="宋体" w:hAnsi="宋体"/>
                <w:color w:val="auto"/>
                <w:szCs w:val="21"/>
                <w:lang w:eastAsia="zh-CN"/>
              </w:rPr>
              <w:t>。</w:t>
            </w:r>
          </w:p>
        </w:tc>
        <w:tc>
          <w:tcPr>
            <w:tcW w:w="1063"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1935" w:type="dxa"/>
            <w:shd w:val="clear" w:color="000000" w:fill="FFFFFF"/>
            <w:vAlign w:val="center"/>
          </w:tcPr>
          <w:p>
            <w:pPr>
              <w:pStyle w:val="5"/>
              <w:ind w:left="0" w:leftChars="0" w:right="0" w:rightChars="0"/>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szCs w:val="21"/>
                <w:highlight w:val="none"/>
                <w:lang w:val="en-US" w:eastAsia="zh-CN"/>
              </w:rPr>
              <w:t>¥129700</w:t>
            </w:r>
            <w:bookmarkStart w:id="0" w:name="_GoBack"/>
            <w:bookmarkEnd w:id="0"/>
            <w:r>
              <w:rPr>
                <w:rFonts w:hint="eastAsia" w:ascii="宋体" w:hAnsi="宋体" w:eastAsia="宋体" w:cs="宋体"/>
                <w:i w:val="0"/>
                <w:iCs w:val="0"/>
                <w:color w:val="000000"/>
                <w:szCs w:val="21"/>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213" w:type="dxa"/>
            <w:gridSpan w:val="6"/>
            <w:shd w:val="clear" w:color="000000" w:fill="FFFFFF"/>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szCs w:val="21"/>
                <w:highlight w:val="none"/>
                <w:lang w:eastAsia="zh-CN"/>
              </w:rPr>
              <w:t>总价：</w:t>
            </w:r>
            <w:r>
              <w:rPr>
                <w:rFonts w:hint="eastAsia" w:ascii="宋体" w:hAnsi="宋体" w:eastAsia="宋体" w:cs="宋体"/>
                <w:i w:val="0"/>
                <w:iCs w:val="0"/>
                <w:color w:val="000000"/>
                <w:szCs w:val="21"/>
                <w:highlight w:val="none"/>
                <w:lang w:val="en-US" w:eastAsia="zh-CN"/>
              </w:rPr>
              <w:t>人民币（大写)壹佰贰拾玖万柒仟元整（¥1297000.00）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5213" w:type="dxa"/>
            <w:gridSpan w:val="6"/>
            <w:shd w:val="clear" w:color="000000" w:fill="FFFFFF"/>
            <w:vAlign w:val="center"/>
          </w:tcPr>
          <w:p>
            <w:pPr>
              <w:spacing w:line="440" w:lineRule="exact"/>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szCs w:val="21"/>
                <w:highlight w:val="none"/>
                <w:lang w:eastAsia="zh-CN"/>
              </w:rPr>
              <w:t>合同签订期：</w:t>
            </w:r>
            <w:r>
              <w:rPr>
                <w:rFonts w:hint="eastAsia" w:ascii="宋体" w:hAnsi="宋体"/>
                <w:color w:val="auto"/>
                <w:szCs w:val="21"/>
              </w:rPr>
              <w:t>自中标通知书发出之日起7个工作日内。</w:t>
            </w: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213" w:type="dxa"/>
            <w:gridSpan w:val="6"/>
            <w:shd w:val="clear" w:color="000000" w:fill="FFFFFF"/>
            <w:vAlign w:val="center"/>
          </w:tcPr>
          <w:p>
            <w:pPr>
              <w:spacing w:line="440" w:lineRule="exact"/>
              <w:rPr>
                <w:rFonts w:hint="eastAsia" w:ascii="宋体" w:hAnsi="宋体" w:eastAsia="宋体" w:cs="宋体"/>
                <w:b w:val="0"/>
                <w:bCs w:val="0"/>
                <w:color w:val="000000"/>
                <w:sz w:val="20"/>
                <w:szCs w:val="20"/>
                <w:lang w:val="en-US" w:eastAsia="zh-CN"/>
              </w:rPr>
            </w:pPr>
            <w:r>
              <w:rPr>
                <w:rFonts w:hint="eastAsia" w:ascii="宋体" w:hAnsi="宋体"/>
                <w:color w:val="auto"/>
                <w:szCs w:val="21"/>
              </w:rPr>
              <w:t>服务期：自签订委托合同之日起一年。</w:t>
            </w:r>
          </w:p>
        </w:tc>
      </w:tr>
    </w:tbl>
    <w:p>
      <w:pPr>
        <w:rPr>
          <w:rFonts w:hint="eastAsia" w:ascii="宋体" w:hAnsi="宋体" w:eastAsia="宋体"/>
          <w:sz w:val="28"/>
        </w:rPr>
      </w:pPr>
    </w:p>
    <w:sectPr>
      <w:pgSz w:w="16838" w:h="11906" w:orient="landscape"/>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金山简黑体">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5B67"/>
    <w:multiLevelType w:val="singleLevel"/>
    <w:tmpl w:val="59745B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4843"/>
    <w:rsid w:val="00161803"/>
    <w:rsid w:val="0017734C"/>
    <w:rsid w:val="00B15C32"/>
    <w:rsid w:val="00B61796"/>
    <w:rsid w:val="011312AC"/>
    <w:rsid w:val="01E43915"/>
    <w:rsid w:val="04FE094E"/>
    <w:rsid w:val="091C6883"/>
    <w:rsid w:val="0A755D0B"/>
    <w:rsid w:val="0E277313"/>
    <w:rsid w:val="0F5E21C5"/>
    <w:rsid w:val="102A29F5"/>
    <w:rsid w:val="11E71016"/>
    <w:rsid w:val="129F7C32"/>
    <w:rsid w:val="14D72195"/>
    <w:rsid w:val="159E4843"/>
    <w:rsid w:val="16D74B9E"/>
    <w:rsid w:val="1A51333B"/>
    <w:rsid w:val="1B183E94"/>
    <w:rsid w:val="1CF704F4"/>
    <w:rsid w:val="1EB06357"/>
    <w:rsid w:val="218609C5"/>
    <w:rsid w:val="21FD0AD4"/>
    <w:rsid w:val="23D01047"/>
    <w:rsid w:val="23F32673"/>
    <w:rsid w:val="243D1494"/>
    <w:rsid w:val="24B04E41"/>
    <w:rsid w:val="24B73F58"/>
    <w:rsid w:val="26626E5B"/>
    <w:rsid w:val="26905AA6"/>
    <w:rsid w:val="27491ECD"/>
    <w:rsid w:val="28A75E34"/>
    <w:rsid w:val="2CBE2CE0"/>
    <w:rsid w:val="2F905DD4"/>
    <w:rsid w:val="340315AB"/>
    <w:rsid w:val="34AF7108"/>
    <w:rsid w:val="359B52D6"/>
    <w:rsid w:val="372D3045"/>
    <w:rsid w:val="388432CA"/>
    <w:rsid w:val="3D2F232F"/>
    <w:rsid w:val="3E785D95"/>
    <w:rsid w:val="3E873E58"/>
    <w:rsid w:val="42F41768"/>
    <w:rsid w:val="45885B3F"/>
    <w:rsid w:val="47057DEE"/>
    <w:rsid w:val="4A76406C"/>
    <w:rsid w:val="4EFE35F9"/>
    <w:rsid w:val="4F530265"/>
    <w:rsid w:val="4FA376B1"/>
    <w:rsid w:val="4FBB04C3"/>
    <w:rsid w:val="4FD473A2"/>
    <w:rsid w:val="502B107E"/>
    <w:rsid w:val="51755B6E"/>
    <w:rsid w:val="569D2A58"/>
    <w:rsid w:val="58242CD6"/>
    <w:rsid w:val="5A467913"/>
    <w:rsid w:val="5B960D9C"/>
    <w:rsid w:val="5CA62955"/>
    <w:rsid w:val="5D4D7DF5"/>
    <w:rsid w:val="5FDE2ABC"/>
    <w:rsid w:val="5FEB58AA"/>
    <w:rsid w:val="600A26AC"/>
    <w:rsid w:val="62581DCC"/>
    <w:rsid w:val="62F060AF"/>
    <w:rsid w:val="66825687"/>
    <w:rsid w:val="6A480118"/>
    <w:rsid w:val="6B7B4BB2"/>
    <w:rsid w:val="6B976032"/>
    <w:rsid w:val="6C1335ED"/>
    <w:rsid w:val="6EB70AFF"/>
    <w:rsid w:val="74B910D0"/>
    <w:rsid w:val="78777B23"/>
    <w:rsid w:val="79A90C6C"/>
    <w:rsid w:val="7B563FED"/>
    <w:rsid w:val="7CD545C7"/>
    <w:rsid w:val="7EE22262"/>
    <w:rsid w:val="7F1C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rPr>
      <w:rFonts w:ascii="金山简黑体" w:hAnsi="Courier New"/>
      <w:b/>
      <w:bCs/>
      <w:spacing w:val="-8"/>
      <w:sz w:val="44"/>
      <w:szCs w:val="44"/>
    </w:rPr>
  </w:style>
  <w:style w:type="paragraph" w:styleId="3">
    <w:name w:val="annotation subject"/>
    <w:basedOn w:val="4"/>
    <w:next w:val="4"/>
    <w:link w:val="14"/>
    <w:unhideWhenUsed/>
    <w:qFormat/>
    <w:uiPriority w:val="0"/>
    <w:rPr>
      <w:b/>
      <w:bCs/>
    </w:rPr>
  </w:style>
  <w:style w:type="paragraph" w:styleId="4">
    <w:name w:val="annotation text"/>
    <w:basedOn w:val="1"/>
    <w:link w:val="13"/>
    <w:unhideWhenUsed/>
    <w:qFormat/>
    <w:uiPriority w:val="0"/>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6">
    <w:name w:val="Balloon Text"/>
    <w:basedOn w:val="1"/>
    <w:link w:val="15"/>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character" w:styleId="9">
    <w:name w:val="annotation reference"/>
    <w:basedOn w:val="8"/>
    <w:unhideWhenUsed/>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文字"/>
    <w:basedOn w:val="1"/>
    <w:qFormat/>
    <w:uiPriority w:val="99"/>
    <w:pPr>
      <w:jc w:val="left"/>
    </w:pPr>
    <w:rPr>
      <w:bCs/>
      <w:spacing w:val="10"/>
      <w:kern w:val="0"/>
      <w:sz w:val="24"/>
    </w:rPr>
  </w:style>
  <w:style w:type="character" w:customStyle="1" w:styleId="13">
    <w:name w:val="批注文字 Char"/>
    <w:basedOn w:val="8"/>
    <w:link w:val="4"/>
    <w:semiHidden/>
    <w:qFormat/>
    <w:uiPriority w:val="0"/>
    <w:rPr>
      <w:sz w:val="21"/>
      <w:szCs w:val="22"/>
    </w:rPr>
  </w:style>
  <w:style w:type="character" w:customStyle="1" w:styleId="14">
    <w:name w:val="批注主题 Char"/>
    <w:basedOn w:val="13"/>
    <w:link w:val="3"/>
    <w:semiHidden/>
    <w:qFormat/>
    <w:uiPriority w:val="0"/>
    <w:rPr>
      <w:b/>
      <w:bCs/>
      <w:sz w:val="21"/>
      <w:szCs w:val="22"/>
    </w:rPr>
  </w:style>
  <w:style w:type="character" w:customStyle="1" w:styleId="15">
    <w:name w:val="批注框文本 Char"/>
    <w:basedOn w:val="8"/>
    <w:link w:val="6"/>
    <w:semiHidden/>
    <w:qFormat/>
    <w:uiPriority w:val="0"/>
    <w:rPr>
      <w:sz w:val="18"/>
      <w:szCs w:val="18"/>
    </w:rPr>
  </w:style>
  <w:style w:type="paragraph" w:styleId="16">
    <w:name w:val="List Paragraph"/>
    <w:basedOn w:val="1"/>
    <w:qFormat/>
    <w:uiPriority w:val="99"/>
    <w:pPr>
      <w:ind w:firstLine="420" w:firstLineChars="200"/>
    </w:pPr>
  </w:style>
  <w:style w:type="character" w:customStyle="1" w:styleId="17">
    <w:name w:val="font01"/>
    <w:basedOn w:val="8"/>
    <w:qFormat/>
    <w:uiPriority w:val="0"/>
    <w:rPr>
      <w:rFonts w:ascii="Calibri" w:hAnsi="Calibri" w:cs="Calibri"/>
      <w:color w:val="000000"/>
      <w:sz w:val="21"/>
      <w:szCs w:val="21"/>
      <w:u w:val="none"/>
    </w:rPr>
  </w:style>
  <w:style w:type="character" w:customStyle="1" w:styleId="18">
    <w:name w:val="font21"/>
    <w:basedOn w:val="8"/>
    <w:qFormat/>
    <w:uiPriority w:val="0"/>
    <w:rPr>
      <w:rFonts w:hint="eastAsia" w:ascii="宋体" w:hAnsi="宋体" w:eastAsia="宋体" w:cs="宋体"/>
      <w:color w:val="000000"/>
      <w:sz w:val="21"/>
      <w:szCs w:val="21"/>
      <w:u w:val="none"/>
    </w:rPr>
  </w:style>
  <w:style w:type="paragraph" w:customStyle="1" w:styleId="19">
    <w:name w:val="正文1"/>
    <w:basedOn w:val="1"/>
    <w:qFormat/>
    <w:uiPriority w:val="0"/>
    <w:pPr>
      <w:ind w:firstLine="200" w:firstLineChars="200"/>
    </w:pPr>
    <w:rPr>
      <w:rFonts w:eastAsia="仿宋_GB2312"/>
      <w:sz w:val="3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411</Words>
  <Characters>2343</Characters>
  <Lines>19</Lines>
  <Paragraphs>5</Paragraphs>
  <TotalTime>0</TotalTime>
  <ScaleCrop>false</ScaleCrop>
  <LinksUpToDate>false</LinksUpToDate>
  <CharactersWithSpaces>2749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2017-07-10T09:39:00Z</dcterms:created>
  <dc:creator>Administrator</dc:creator>
  <cp:lastModifiedBy>NTKO</cp:lastModifiedBy>
  <dcterms:modified xsi:type="dcterms:W3CDTF">2020-01-09T04:08:01Z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